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metric definition workbook</w:t>
      </w:r>
    </w:p>
    <w:p>
      <w:r>
        <w:t>Define one metric so another analyst can reproduce it. Use fictional records and keep assumptions separate from agreed rules.</w:t>
      </w:r>
    </w:p>
    <w:p>
      <w:pPr>
        <w:pStyle w:val="Heading1"/>
      </w:pPr>
      <w:r>
        <w:t>Define the metric</w:t>
      </w:r>
    </w:p>
    <w:p>
      <w:pPr>
        <w:spacing w:before="160" w:after="40"/>
      </w:pPr>
      <w:r>
        <w:rPr>
          <w:b/>
        </w:rPr>
        <w:t>Metric name and decision purpose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Record unit and period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Counting rule or numerator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Denominator if applicable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Inclusions exclusions and missing cases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Authorised source and fields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Test and maintain the definition</w:t>
      </w:r>
    </w:p>
    <w:p>
      <w:pPr>
        <w:spacing w:before="160" w:after="40"/>
      </w:pPr>
      <w:r>
        <w:rPr>
          <w:b/>
        </w:rPr>
        <w:t>Normal fictional example and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Exception example and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Missing information example and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Differences found by a second reader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Limitations and unresolved questions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Owner version date and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This practice document does not replace an analytical or accessibility review.</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metric definition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