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Compliance action planning template</w:t>
      </w:r>
    </w:p>
    <w:p>
      <w:r>
        <w:t>Confirm the applicable requirement with the responsible specialist. Connect the observed gap to an approved action and a completion check. Use fictional or authorised information.</w:t>
      </w:r>
    </w:p>
    <w:p>
      <w:pPr>
        <w:pStyle w:val="Heading1"/>
      </w:pPr>
      <w:r>
        <w:t>Confirm the requirement and action</w:t>
      </w:r>
    </w:p>
    <w:p>
      <w:pPr>
        <w:spacing w:before="160" w:after="40"/>
      </w:pPr>
      <w:r>
        <w:rPr>
          <w:b/>
        </w:rPr>
        <w:t>Requirement source version and applicability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Expected condition and observed gap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reference and review scope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Clarification or specialist input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Agreed action and decision authority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Action owner due date and dependencies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 and close the action</w:t>
      </w:r>
    </w:p>
    <w:p>
      <w:pPr>
        <w:spacing w:before="160" w:after="40"/>
      </w:pPr>
      <w:r>
        <w:rPr>
          <w:b/>
        </w:rPr>
        <w:t>Completion conditions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location and access permission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Completion reviewer and review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Observed result and remaining gap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to close revise or escalate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Follow-up action owner and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action planning template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