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dependency mapping workbook</w:t>
      </w:r>
    </w:p>
    <w:p>
      <w:r>
        <w:t>Map one handover or sequencing relationship. Confirm the input, timing and acceptance conditions with the provider and receiving team. Use fictional or authorised information.</w:t>
      </w:r>
    </w:p>
    <w:p>
      <w:pPr>
        <w:pStyle w:val="Heading1"/>
      </w:pPr>
      <w:r>
        <w:t>Define the dependency</w:t>
      </w:r>
    </w:p>
    <w:p>
      <w:pPr>
        <w:spacing w:before="160" w:after="40"/>
      </w:pPr>
      <w:r>
        <w:rPr>
          <w:b/>
        </w:rPr>
        <w:t>Deliverable and receiving activity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Input or decision needed and why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Provider and receiving owner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Required sequence and parallel work possible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Needed-by date and provider forecast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Acceptance conditions and evidence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Agree a response and review</w:t>
      </w:r>
    </w:p>
    <w:p>
      <w:pPr>
        <w:spacing w:before="160" w:after="40"/>
      </w:pPr>
      <w:r>
        <w:rPr>
          <w:b/>
        </w:rPr>
        <w:t>Mismatch and potential effect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Options and decision authority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Agreed action owner and due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Check-in and escalation trigger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Changed assumption and affected plan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Review result and next action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confidential information out of shared copies.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dependency mapping workbook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