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Reproducible defect report workbook</w:t>
      </w:r>
    </w:p>
    <w:p>
      <w:r>
        <w:t>Describe an observed fault with enough detail for another authorised person to investigate. Separate evidence from assumptions.</w:t>
      </w:r>
    </w:p>
    <w:p>
      <w:pPr>
        <w:pStyle w:val="Heading1"/>
      </w:pPr>
      <w:r>
        <w:t>Describe and reproduce</w:t>
      </w:r>
    </w:p>
    <w:p>
      <w:pPr>
        <w:spacing w:before="160" w:after="40"/>
      </w:pPr>
      <w:r>
        <w:rPr>
          <w:b/>
        </w:rPr>
        <w:t>Title and application area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Environment version and role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Starting state and fictional data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Steps in order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Expected result and requirement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Actual result and error message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Evidence impact and next step</w:t>
      </w:r>
    </w:p>
    <w:p>
      <w:pPr>
        <w:spacing w:before="160" w:after="40"/>
      </w:pPr>
      <w:r>
        <w:rPr>
          <w:b/>
        </w:rPr>
        <w:t>Frequency and known conditions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Evidence reference in authorised location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User or process effect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Second reviewer reproduction result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Unresolved questions without assumed cause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Next action owner and review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practice document does not replace a test strategy or authorise a live release.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8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Reproducible defect report workbook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