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Release and recovery planning template</w:t>
      </w:r>
    </w:p>
    <w:p>
      <w:r>
        <w:t>Plan a fictional release. Confirm scope, checks and recovery decisions with the implementation team before operational use.</w:t>
      </w:r>
    </w:p>
    <w:p>
      <w:pPr>
        <w:pStyle w:val="Heading1"/>
      </w:pPr>
      <w:r>
        <w:t>Prepare the release</w:t>
      </w:r>
    </w:p>
    <w:p>
      <w:pPr>
        <w:spacing w:before="160" w:after="40"/>
      </w:pPr>
      <w:r>
        <w:rPr>
          <w:b/>
        </w:rPr>
        <w:t>Version scope and intended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Owner approval and release window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Dependencies and checks completed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Data or configuration effects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Recovery reference and limitations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Conditions to pause or escalate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Observe and decide</w:t>
      </w:r>
    </w:p>
    <w:p>
      <w:pPr>
        <w:spacing w:before="160" w:after="40"/>
      </w:pPr>
      <w:r>
        <w:rPr>
          <w:b/>
        </w:rPr>
        <w:t>Post-release checks and expected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Monitoring owner and observation period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Observed issue and evidence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maker and communication route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to accept pause or recover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Handover owner and next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practice document does not replace a test strategy or authorise a live release.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and recovery planning template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